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4" w:rsidRPr="001A5954" w:rsidRDefault="001A5954" w:rsidP="001A5954">
      <w:pPr>
        <w:shd w:val="clear" w:color="auto" w:fill="FFFFFF"/>
        <w:spacing w:after="150" w:line="240" w:lineRule="auto"/>
        <w:ind w:left="150"/>
        <w:outlineLvl w:val="2"/>
        <w:rPr>
          <w:rFonts w:ascii="Arial" w:eastAsia="Times New Roman" w:hAnsi="Arial" w:cs="Arial"/>
          <w:b/>
          <w:bCs/>
          <w:color w:val="4582BE"/>
          <w:sz w:val="25"/>
          <w:szCs w:val="25"/>
          <w:lang w:eastAsia="it-IT"/>
        </w:rPr>
      </w:pPr>
      <w:r w:rsidRPr="001A5954">
        <w:rPr>
          <w:rFonts w:ascii="Arial" w:eastAsia="Times New Roman" w:hAnsi="Arial" w:cs="Arial"/>
          <w:b/>
          <w:bCs/>
          <w:color w:val="4582BE"/>
          <w:sz w:val="25"/>
          <w:szCs w:val="25"/>
          <w:lang w:eastAsia="it-IT"/>
        </w:rPr>
        <w:t xml:space="preserve">Gabriella Muscolo 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>
        <w:rPr>
          <w:rFonts w:ascii="Garamond" w:eastAsia="Times New Roman" w:hAnsi="Garamond" w:cs="Arial"/>
          <w:noProof/>
          <w:sz w:val="19"/>
          <w:szCs w:val="19"/>
          <w:lang w:eastAsia="it-IT"/>
        </w:rPr>
        <w:drawing>
          <wp:inline distT="0" distB="0" distL="0" distR="0">
            <wp:extent cx="2379980" cy="2379980"/>
            <wp:effectExtent l="0" t="0" r="1270" b="1270"/>
            <wp:docPr id="1" name="Immagine 1" descr="http://www.agcm.it/images/stories/muscoloquad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cm.it/images/stories/muscoloquad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4" w:rsidRPr="001A5954" w:rsidRDefault="001A5954" w:rsidP="001A5954">
      <w:pPr>
        <w:shd w:val="clear" w:color="auto" w:fill="FFFFFF"/>
        <w:spacing w:after="150" w:line="240" w:lineRule="auto"/>
        <w:ind w:left="150"/>
        <w:outlineLvl w:val="2"/>
        <w:rPr>
          <w:rFonts w:ascii="Arial" w:eastAsia="Times New Roman" w:hAnsi="Arial" w:cs="Arial"/>
          <w:b/>
          <w:bCs/>
          <w:color w:val="4582BE"/>
          <w:sz w:val="25"/>
          <w:szCs w:val="25"/>
          <w:lang w:eastAsia="it-IT"/>
        </w:rPr>
      </w:pPr>
      <w:r w:rsidRPr="001A5954">
        <w:rPr>
          <w:rFonts w:ascii="Arial" w:eastAsia="Times New Roman" w:hAnsi="Arial" w:cs="Arial"/>
          <w:b/>
          <w:bCs/>
          <w:color w:val="4582BE"/>
          <w:sz w:val="25"/>
          <w:szCs w:val="25"/>
          <w:lang w:eastAsia="it-IT"/>
        </w:rPr>
        <w:t>Componente dell'Autorità Garante della Concorrenza e del Mercato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Gabriella Muscolo,  nata a Milano il 5 maggio 1959,  ha conseguito il diploma di Laurea in giurisprudenza con lode  il 20 dicembre 1982 presso la Università degli Studi di Genova.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E’ stata nominata uditore giudiziario con  DM 29 maggio 1985, magistrato di Tribunale con decorso dal 29 maggio 1988,  magistrato di appello con decorso dal 29 maggio 1998 e magistrato di Cassazione con decorso dal 29 maggio 2005.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Dal 1991 al 1995 è stata collocata fuori dal ruolo organico della magistratura e addetta  al Ministero della Giustizia dove è stata addetta in particolare alla trattazione della materia internazionale e comunitaria, facendo parte tra l’ altro della Commissione di riforma per la attuazione delle direttive in materia societaria e della Commissione di riforma del diritto societario  costituite presso l’ Ufficio Legislativo del medesimo Ministero.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Dal 1999 è stata trasferita a domanda al Tribunale di Roma, dal 2003 è stata designata quale giudice della sezione specializzata per la proprietà industriale e intellettuale, costituita con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d.lgs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168/2003, con competenza nelle materie del diritto industriale e del diritto 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antitrust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e dal 2012 è stata giudice del tribunale dell’ impresa costituito con L. 27/2012, con competenza in materia di diritto della proprietà industriale  intellettuale, diritto della concorrenza e diritto degli appalti comunitari.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E’  estensore di numerosi provvedimenti in materia di diritto industriale e della concorrenza pubblicati e  annotati in riviste  specializzate in Italia e in Europa.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E’ stata nominata membro della Camera allargata dell’ Ufficio Europeo dei Brevetti in Monaco, per il triennio 2009/2011 e per quello 2012/2014, incarico cessato al momento della assunzione della carica di componente della Autorità Garante per la Concorrenza e il Mercato.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Nel 2012 è stata inoltre nominata dal CSM-Consiglio Superiore della Magistratura formatore decentrato in diritto europeo per il distretto della Corte di Appello di Roma in attuazione del progetto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European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Gaius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 in tale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qualita’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ha partecipato alle attività di EJTN-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European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Judicial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Training Network.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Dal 2008 è incaricata del corso di diritto commerciale presso la Scuola per le professioni legali dell’ Università degli Studi di Roma La Sapienza,  e dal 2003 ha tenuto lezioni presso Università italiane e straniere, tra cui l’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Université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de Strasbourg, CEIPI- Centre d’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Etude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International de la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Propriété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 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Intellectuelle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, la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Technische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Universitat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Dresden, la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Universidad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de Alicante, la Queen Mary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University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,  la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University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of Washington, CASRIP- Center for Advanced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Studies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and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Research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in Seattle e la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Waseda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University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in Tokio.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Ha partecipato, quale esperto formatore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,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a numerosi progetti nel quadro di programmi della Commissione della Unione Europea ed è stata docente abituale per il CSM e l’ 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Academy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dell’ EPO.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E’ autrice di  pubblicazioni nelle materie di diritto societario, industriale e della concorrenza, in lingua italiana e inglese, ed in particolare di numerosi articoli su riviste italiane ed europee e contributi a opere collettive, curatrice, insieme a G. Caggiano e M.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Tavassi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, del volume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Intellectual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Property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and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Competition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Law: a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European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perspective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,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Kluver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International, The Netherlands,  2012,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lastRenderedPageBreak/>
        <w:t>curatrice, insieme a G. Pitruzzella, del volume “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The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Pharmaceutical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Sector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Between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Patent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Law And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Competition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Law. An International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Perspective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”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Kluwer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International, The Netherlands, 2016.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E’ membro del comitato di redazione della rivista 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Le sezioni specializzate di diritto industriale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edita da </w:t>
      </w:r>
      <w:proofErr w:type="spellStart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Giuffrè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e della rivista 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on line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Italian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Antitrust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Review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. 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E’ componente del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board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of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directors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dell’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Intellectual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Property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Judges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Association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- IPJA,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membro della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Association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of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European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Competition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 Law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Judges</w:t>
      </w:r>
      <w:proofErr w:type="spellEnd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-AECLJ, </w:t>
      </w: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e componente dell’ </w:t>
      </w:r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 xml:space="preserve">executive </w:t>
      </w:r>
      <w:proofErr w:type="spellStart"/>
      <w:r w:rsidRPr="001A5954">
        <w:rPr>
          <w:rFonts w:ascii="Garamond" w:eastAsia="Times New Roman" w:hAnsi="Garamond" w:cs="Arial"/>
          <w:i/>
          <w:iCs/>
          <w:sz w:val="19"/>
          <w:szCs w:val="19"/>
          <w:lang w:eastAsia="it-IT"/>
        </w:rPr>
        <w:t>board</w:t>
      </w:r>
      <w:proofErr w:type="spellEnd"/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 xml:space="preserve"> e vicepresidente dell’ Associazione Italiana dei Giuristi Europei-AIGE, associazione che partecipa alla FIDE.</w:t>
      </w:r>
    </w:p>
    <w:p w:rsidR="001A5954" w:rsidRPr="001A5954" w:rsidRDefault="001A5954" w:rsidP="001A59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19"/>
          <w:szCs w:val="19"/>
          <w:lang w:eastAsia="it-IT"/>
        </w:rPr>
      </w:pPr>
      <w:r w:rsidRPr="001A5954">
        <w:rPr>
          <w:rFonts w:ascii="Garamond" w:eastAsia="Times New Roman" w:hAnsi="Garamond" w:cs="Arial"/>
          <w:sz w:val="19"/>
          <w:szCs w:val="19"/>
          <w:lang w:eastAsia="it-IT"/>
        </w:rPr>
        <w:t>Dal 16 maggio 2014 è componente dell'Autorità garante della concorrenza e del mercato.</w:t>
      </w:r>
    </w:p>
    <w:p w:rsidR="00320270" w:rsidRDefault="00320270">
      <w:bookmarkStart w:id="0" w:name="_GoBack"/>
      <w:bookmarkEnd w:id="0"/>
    </w:p>
    <w:sectPr w:rsidR="00320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4"/>
    <w:rsid w:val="001A5954"/>
    <w:rsid w:val="003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595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A595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44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AGCM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AMICONI</dc:creator>
  <cp:lastModifiedBy>Maria Teresa AMICONI</cp:lastModifiedBy>
  <cp:revision>1</cp:revision>
  <dcterms:created xsi:type="dcterms:W3CDTF">2016-11-17T15:09:00Z</dcterms:created>
  <dcterms:modified xsi:type="dcterms:W3CDTF">2016-11-17T15:09:00Z</dcterms:modified>
</cp:coreProperties>
</file>